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33FD" w14:textId="77777777" w:rsidR="0062540C" w:rsidRPr="00D16327" w:rsidRDefault="0062540C" w:rsidP="00D16327">
      <w:pPr>
        <w:jc w:val="both"/>
        <w:rPr>
          <w:rFonts w:ascii="Arial Narrow" w:hAnsi="Arial Narrow"/>
          <w:sz w:val="24"/>
          <w:szCs w:val="24"/>
        </w:rPr>
      </w:pPr>
      <w:r w:rsidRPr="00D16327">
        <w:rPr>
          <w:rFonts w:ascii="Arial Narrow" w:hAnsi="Arial Narrow"/>
          <w:sz w:val="24"/>
          <w:szCs w:val="24"/>
        </w:rPr>
        <w:t xml:space="preserve">EDITAL N. 92/2023 </w:t>
      </w:r>
    </w:p>
    <w:p w14:paraId="7D5EA38D" w14:textId="15177D06" w:rsidR="005B3FFD" w:rsidRPr="00D16327" w:rsidRDefault="0062540C" w:rsidP="00D16327">
      <w:pPr>
        <w:jc w:val="both"/>
        <w:rPr>
          <w:rFonts w:ascii="Arial Narrow" w:hAnsi="Arial Narrow" w:cs="Tahoma"/>
          <w:b/>
          <w:sz w:val="24"/>
          <w:szCs w:val="24"/>
        </w:rPr>
      </w:pPr>
      <w:r w:rsidRPr="00D16327">
        <w:rPr>
          <w:rFonts w:ascii="Arial Narrow" w:hAnsi="Arial Narrow"/>
          <w:sz w:val="24"/>
          <w:szCs w:val="24"/>
        </w:rPr>
        <w:t>CONCORRÊNCIA</w:t>
      </w:r>
      <w:r w:rsidR="00D16327">
        <w:rPr>
          <w:rFonts w:ascii="Arial Narrow" w:hAnsi="Arial Narrow"/>
          <w:sz w:val="24"/>
          <w:szCs w:val="24"/>
        </w:rPr>
        <w:t xml:space="preserve"> PÚBLICA</w:t>
      </w:r>
      <w:r w:rsidRPr="00D16327">
        <w:rPr>
          <w:rFonts w:ascii="Arial Narrow" w:hAnsi="Arial Narrow"/>
          <w:sz w:val="24"/>
          <w:szCs w:val="24"/>
        </w:rPr>
        <w:t xml:space="preserve"> N. 02/2023</w:t>
      </w:r>
    </w:p>
    <w:p w14:paraId="32B553A2" w14:textId="609244B8" w:rsidR="00A76E6C" w:rsidRPr="00D16327" w:rsidRDefault="0062540C" w:rsidP="00D16327">
      <w:pPr>
        <w:jc w:val="both"/>
        <w:rPr>
          <w:rFonts w:ascii="Arial Narrow" w:hAnsi="Arial Narrow" w:cs="Tahoma"/>
          <w:b/>
          <w:sz w:val="24"/>
          <w:szCs w:val="24"/>
        </w:rPr>
      </w:pPr>
      <w:r w:rsidRPr="00D16327">
        <w:rPr>
          <w:rFonts w:ascii="Arial Narrow" w:hAnsi="Arial Narrow" w:cs="Tahoma"/>
          <w:b/>
          <w:sz w:val="24"/>
          <w:szCs w:val="24"/>
        </w:rPr>
        <w:t>ERRATA 001</w:t>
      </w:r>
    </w:p>
    <w:p w14:paraId="06BB2ACA" w14:textId="77777777" w:rsidR="0062540C" w:rsidRPr="00D16327" w:rsidRDefault="0062540C" w:rsidP="00D16327">
      <w:pPr>
        <w:jc w:val="both"/>
        <w:rPr>
          <w:rFonts w:ascii="Arial Narrow" w:hAnsi="Arial Narrow" w:cs="Tahoma"/>
          <w:b/>
          <w:sz w:val="24"/>
          <w:szCs w:val="24"/>
        </w:rPr>
      </w:pPr>
    </w:p>
    <w:p w14:paraId="27B539EA" w14:textId="6978D31C" w:rsidR="0062540C" w:rsidRPr="00D16327" w:rsidRDefault="00D16327" w:rsidP="00D16327">
      <w:pPr>
        <w:jc w:val="both"/>
        <w:rPr>
          <w:rFonts w:ascii="Arial Narrow" w:hAnsi="Arial Narrow" w:cs="Tahoma"/>
          <w:b/>
          <w:sz w:val="24"/>
          <w:szCs w:val="24"/>
        </w:rPr>
      </w:pPr>
      <w:r w:rsidRPr="00D16327">
        <w:rPr>
          <w:rFonts w:ascii="Arial Narrow" w:hAnsi="Arial Narrow" w:cs="Tahoma"/>
          <w:b/>
          <w:sz w:val="24"/>
          <w:szCs w:val="24"/>
        </w:rPr>
        <w:t>O</w:t>
      </w:r>
      <w:r w:rsidR="0062540C" w:rsidRPr="00D16327">
        <w:rPr>
          <w:rFonts w:ascii="Arial Narrow" w:hAnsi="Arial Narrow" w:cs="Tahoma"/>
          <w:b/>
          <w:sz w:val="24"/>
          <w:szCs w:val="24"/>
        </w:rPr>
        <w:t>nde se lê</w:t>
      </w:r>
    </w:p>
    <w:p w14:paraId="1282EEA2" w14:textId="4DF83480" w:rsidR="0062540C" w:rsidRPr="00D16327" w:rsidRDefault="0062540C" w:rsidP="00D16327">
      <w:pPr>
        <w:jc w:val="both"/>
        <w:rPr>
          <w:rFonts w:ascii="Arial Narrow" w:hAnsi="Arial Narrow"/>
          <w:sz w:val="24"/>
          <w:szCs w:val="24"/>
        </w:rPr>
      </w:pPr>
      <w:r w:rsidRPr="00D16327">
        <w:rPr>
          <w:rFonts w:ascii="Arial Narrow" w:hAnsi="Arial Narrow"/>
          <w:sz w:val="24"/>
          <w:szCs w:val="24"/>
        </w:rPr>
        <w:t>8.2. A família selecionada, através de seu representante inscrito, que deverá ser do sexo feminino, exceto somente se não houverem inscritos que atinjam o número de 15 (quinze), firmará com o Município de Passos Maia termo de cessão de uso, com prazo de vigência de 10 (dez) anos, podendo ser prorrogado por igual período caso as condições socioeconômicas se mantenham.</w:t>
      </w:r>
    </w:p>
    <w:p w14:paraId="5CC71D6F" w14:textId="77777777" w:rsidR="0062540C" w:rsidRPr="00D16327" w:rsidRDefault="0062540C" w:rsidP="00D16327">
      <w:pPr>
        <w:jc w:val="both"/>
        <w:rPr>
          <w:rFonts w:ascii="Arial Narrow" w:hAnsi="Arial Narrow"/>
          <w:sz w:val="24"/>
          <w:szCs w:val="24"/>
        </w:rPr>
      </w:pPr>
    </w:p>
    <w:p w14:paraId="5065F423" w14:textId="4CF8EBA9" w:rsidR="0062540C" w:rsidRPr="00D16327" w:rsidRDefault="0062540C" w:rsidP="00D16327">
      <w:pPr>
        <w:jc w:val="both"/>
        <w:rPr>
          <w:rFonts w:ascii="Arial Narrow" w:hAnsi="Arial Narrow"/>
          <w:sz w:val="24"/>
          <w:szCs w:val="24"/>
        </w:rPr>
      </w:pPr>
      <w:r w:rsidRPr="00D16327">
        <w:rPr>
          <w:rFonts w:ascii="Arial Narrow" w:hAnsi="Arial Narrow"/>
          <w:sz w:val="24"/>
          <w:szCs w:val="24"/>
        </w:rPr>
        <w:t xml:space="preserve">Leia-se </w:t>
      </w:r>
    </w:p>
    <w:p w14:paraId="2D9CFF71" w14:textId="4F86E8E0" w:rsidR="0062540C" w:rsidRDefault="0062540C" w:rsidP="00D16327">
      <w:pPr>
        <w:jc w:val="both"/>
        <w:rPr>
          <w:rFonts w:ascii="Arial Narrow" w:hAnsi="Arial Narrow"/>
          <w:sz w:val="24"/>
          <w:szCs w:val="24"/>
        </w:rPr>
      </w:pPr>
      <w:r w:rsidRPr="00D16327">
        <w:rPr>
          <w:rFonts w:ascii="Arial Narrow" w:hAnsi="Arial Narrow"/>
          <w:sz w:val="24"/>
          <w:szCs w:val="24"/>
        </w:rPr>
        <w:t>8.2. A família selecionada, através de seu representante inscrito, que deverá ser do sexo feminino, exceto somente se não houverem inscritos que atinjam o número de 15 (quinze), firmará com o Município de Passos Maia termo de cessão de uso, com prazo de vigência de até 10 (dez) anos, podendo ser prorrogado por igual período caso as condições socioeconômicas se mantenham.</w:t>
      </w:r>
    </w:p>
    <w:p w14:paraId="55F01F8F" w14:textId="77777777" w:rsidR="00CF43DB" w:rsidRDefault="00CF43DB" w:rsidP="00D16327">
      <w:pPr>
        <w:jc w:val="both"/>
        <w:rPr>
          <w:rFonts w:ascii="Arial Narrow" w:hAnsi="Arial Narrow"/>
          <w:sz w:val="24"/>
          <w:szCs w:val="24"/>
        </w:rPr>
      </w:pPr>
    </w:p>
    <w:p w14:paraId="6ED935F3" w14:textId="5CEA2565" w:rsidR="00CF43DB" w:rsidRDefault="00CF43DB" w:rsidP="00D1632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Onde se lê</w:t>
      </w:r>
    </w:p>
    <w:p w14:paraId="09DFC4E8" w14:textId="10F669AB" w:rsidR="00CF43DB" w:rsidRDefault="00CF43DB" w:rsidP="00D16327">
      <w:pPr>
        <w:jc w:val="both"/>
      </w:pPr>
      <w:r>
        <w:t>11.4 A candidata selecionada firmará com o município de Passos Maia um contrato de cessão de uso com o prazo de 10 (dez) anos.</w:t>
      </w:r>
    </w:p>
    <w:p w14:paraId="6232A7F3" w14:textId="0DA7B0BF" w:rsidR="00CF43DB" w:rsidRDefault="00CF43DB" w:rsidP="00D16327">
      <w:pPr>
        <w:jc w:val="both"/>
      </w:pPr>
      <w:r>
        <w:t>Leia-se</w:t>
      </w:r>
    </w:p>
    <w:p w14:paraId="70521153" w14:textId="55B3DD7C" w:rsidR="00CF43DB" w:rsidRPr="00D16327" w:rsidRDefault="00CF43DB" w:rsidP="00D16327">
      <w:pPr>
        <w:jc w:val="both"/>
        <w:rPr>
          <w:rFonts w:ascii="Arial Narrow" w:hAnsi="Arial Narrow" w:cs="Tahoma"/>
          <w:b/>
          <w:sz w:val="24"/>
          <w:szCs w:val="24"/>
        </w:rPr>
      </w:pPr>
      <w:r>
        <w:t>11.4 A candidata selecionada firmará com o município de Passos Maia um contrato de cessão de uso com o prazo de até 10 (dez) anos.</w:t>
      </w:r>
    </w:p>
    <w:p w14:paraId="16F35547" w14:textId="77777777" w:rsidR="00CF43DB" w:rsidRDefault="00CF43DB" w:rsidP="00D16327">
      <w:pPr>
        <w:spacing w:after="0"/>
        <w:contextualSpacing/>
        <w:jc w:val="both"/>
        <w:rPr>
          <w:rFonts w:ascii="Arial Narrow" w:hAnsi="Arial Narrow" w:cs="Tahoma"/>
          <w:b/>
          <w:sz w:val="24"/>
          <w:szCs w:val="24"/>
        </w:rPr>
      </w:pPr>
    </w:p>
    <w:p w14:paraId="71563328" w14:textId="7044B57C" w:rsidR="005B3FFD" w:rsidRDefault="0062540C" w:rsidP="00D16327">
      <w:pPr>
        <w:spacing w:after="0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D16327">
        <w:rPr>
          <w:rFonts w:ascii="Arial Narrow" w:hAnsi="Arial Narrow" w:cs="Tahoma"/>
          <w:b/>
          <w:sz w:val="24"/>
          <w:szCs w:val="24"/>
        </w:rPr>
        <w:t xml:space="preserve">O anexo VI passa a </w:t>
      </w:r>
      <w:proofErr w:type="spellStart"/>
      <w:r w:rsidRPr="00D16327">
        <w:rPr>
          <w:rFonts w:ascii="Arial Narrow" w:hAnsi="Arial Narrow" w:cs="Tahoma"/>
          <w:b/>
          <w:sz w:val="24"/>
          <w:szCs w:val="24"/>
        </w:rPr>
        <w:t>vigir</w:t>
      </w:r>
      <w:proofErr w:type="spellEnd"/>
      <w:r w:rsidRPr="00D16327">
        <w:rPr>
          <w:rFonts w:ascii="Arial Narrow" w:hAnsi="Arial Narrow" w:cs="Tahoma"/>
          <w:b/>
          <w:sz w:val="24"/>
          <w:szCs w:val="24"/>
        </w:rPr>
        <w:t xml:space="preserve"> com a seguinte redação:</w:t>
      </w:r>
    </w:p>
    <w:p w14:paraId="665E929A" w14:textId="77777777" w:rsidR="00CF43DB" w:rsidRDefault="00CF43DB" w:rsidP="00CF43DB">
      <w:pPr>
        <w:spacing w:after="0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14:paraId="01C2E44A" w14:textId="3964AD71" w:rsidR="00CF43DB" w:rsidRDefault="00CF43DB" w:rsidP="00CF43DB">
      <w:pPr>
        <w:spacing w:after="0"/>
        <w:contextualSpacing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Anexo VI</w:t>
      </w:r>
    </w:p>
    <w:p w14:paraId="61DF7393" w14:textId="3343B705" w:rsidR="00CF43DB" w:rsidRDefault="00CF43DB" w:rsidP="00CF43DB">
      <w:pPr>
        <w:spacing w:after="0"/>
        <w:contextualSpacing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CRONOGRAMA</w:t>
      </w:r>
    </w:p>
    <w:p w14:paraId="37830BB3" w14:textId="77777777" w:rsidR="00CF43DB" w:rsidRPr="00D16327" w:rsidRDefault="00CF43DB" w:rsidP="00CF43DB">
      <w:pPr>
        <w:spacing w:after="0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A23CD" w:rsidRPr="00D16327" w14:paraId="1E4BEC67" w14:textId="77777777" w:rsidTr="00D16327">
        <w:tc>
          <w:tcPr>
            <w:tcW w:w="2972" w:type="dxa"/>
          </w:tcPr>
          <w:p w14:paraId="4CB293F7" w14:textId="5D5EC8B0" w:rsidR="00EA23CD" w:rsidRPr="00D16327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16327">
              <w:rPr>
                <w:rFonts w:ascii="Arial Narrow" w:hAnsi="Arial Narrow" w:cs="Tahoma"/>
                <w:b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79E34145" w14:textId="1D87800C" w:rsidR="00EA23CD" w:rsidRPr="00D16327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16327">
              <w:rPr>
                <w:rFonts w:ascii="Arial Narrow" w:hAnsi="Arial Narrow" w:cs="Tahoma"/>
                <w:b/>
                <w:sz w:val="24"/>
                <w:szCs w:val="24"/>
              </w:rPr>
              <w:t>ETAPA</w:t>
            </w:r>
          </w:p>
        </w:tc>
      </w:tr>
      <w:tr w:rsidR="00EA23CD" w:rsidRPr="00D16327" w14:paraId="539EA56C" w14:textId="77777777" w:rsidTr="00D16327">
        <w:tc>
          <w:tcPr>
            <w:tcW w:w="2972" w:type="dxa"/>
          </w:tcPr>
          <w:p w14:paraId="6FD1083E" w14:textId="35BBA612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13/11/2023</w:t>
            </w:r>
          </w:p>
        </w:tc>
        <w:tc>
          <w:tcPr>
            <w:tcW w:w="6090" w:type="dxa"/>
          </w:tcPr>
          <w:p w14:paraId="41361A60" w14:textId="5A1986B1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Publicação do Edital</w:t>
            </w:r>
          </w:p>
        </w:tc>
      </w:tr>
      <w:tr w:rsidR="00EA23CD" w:rsidRPr="00D16327" w14:paraId="234F5F8D" w14:textId="77777777" w:rsidTr="00D16327">
        <w:tc>
          <w:tcPr>
            <w:tcW w:w="2972" w:type="dxa"/>
          </w:tcPr>
          <w:p w14:paraId="4349DDF7" w14:textId="0B594409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13/11/2023 a 23/11/2023</w:t>
            </w:r>
          </w:p>
        </w:tc>
        <w:tc>
          <w:tcPr>
            <w:tcW w:w="6090" w:type="dxa"/>
          </w:tcPr>
          <w:p w14:paraId="03D5273F" w14:textId="7A09FFEB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Prazo para inscrições (6.1)</w:t>
            </w:r>
          </w:p>
        </w:tc>
      </w:tr>
      <w:tr w:rsidR="00EA23CD" w:rsidRPr="00D16327" w14:paraId="753D8D1F" w14:textId="77777777" w:rsidTr="00D16327">
        <w:tc>
          <w:tcPr>
            <w:tcW w:w="2972" w:type="dxa"/>
          </w:tcPr>
          <w:p w14:paraId="7BCECE70" w14:textId="2F4BF2BA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14/11/2023 a 16/11/2023</w:t>
            </w:r>
          </w:p>
        </w:tc>
        <w:tc>
          <w:tcPr>
            <w:tcW w:w="6090" w:type="dxa"/>
          </w:tcPr>
          <w:p w14:paraId="47D298D2" w14:textId="3DD2E0D2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Prazo para impugnação do edital (10.1)</w:t>
            </w:r>
          </w:p>
        </w:tc>
      </w:tr>
      <w:tr w:rsidR="00EA23CD" w:rsidRPr="00D16327" w14:paraId="586C3FB3" w14:textId="77777777" w:rsidTr="00D16327">
        <w:tc>
          <w:tcPr>
            <w:tcW w:w="2972" w:type="dxa"/>
          </w:tcPr>
          <w:p w14:paraId="56FAA5E1" w14:textId="6BB89ED5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29/11/2023</w:t>
            </w:r>
          </w:p>
        </w:tc>
        <w:tc>
          <w:tcPr>
            <w:tcW w:w="6090" w:type="dxa"/>
          </w:tcPr>
          <w:p w14:paraId="68BA917C" w14:textId="5B79EDC2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Reunião do Conselho Gestor do fundo Municipal de Interesse Social para análise das inscrições. (02)</w:t>
            </w:r>
          </w:p>
        </w:tc>
      </w:tr>
      <w:tr w:rsidR="00EA23CD" w:rsidRPr="00D16327" w14:paraId="11B2054B" w14:textId="77777777" w:rsidTr="00D16327">
        <w:tc>
          <w:tcPr>
            <w:tcW w:w="2972" w:type="dxa"/>
          </w:tcPr>
          <w:p w14:paraId="43D68B53" w14:textId="1774093A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lastRenderedPageBreak/>
              <w:t>30/11/2023</w:t>
            </w:r>
          </w:p>
        </w:tc>
        <w:tc>
          <w:tcPr>
            <w:tcW w:w="6090" w:type="dxa"/>
          </w:tcPr>
          <w:p w14:paraId="18ABCBB1" w14:textId="5E901A2A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Publicação da relação de famílias inscritas por ordem de classificação (4.1-C)</w:t>
            </w:r>
          </w:p>
        </w:tc>
      </w:tr>
      <w:tr w:rsidR="00EA23CD" w:rsidRPr="00D16327" w14:paraId="3089528B" w14:textId="77777777" w:rsidTr="00D16327">
        <w:tc>
          <w:tcPr>
            <w:tcW w:w="2972" w:type="dxa"/>
          </w:tcPr>
          <w:p w14:paraId="75604CAD" w14:textId="604FADA8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01/12/2023 a 04/12/2023</w:t>
            </w:r>
          </w:p>
        </w:tc>
        <w:tc>
          <w:tcPr>
            <w:tcW w:w="6090" w:type="dxa"/>
          </w:tcPr>
          <w:p w14:paraId="0A6A714D" w14:textId="4E1F3CEF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Prazo para impugnação da relação de famílias inscritas por ordem de classificação (4.1-d)</w:t>
            </w:r>
          </w:p>
        </w:tc>
      </w:tr>
      <w:tr w:rsidR="00EA23CD" w:rsidRPr="00D16327" w14:paraId="430DF9D8" w14:textId="77777777" w:rsidTr="00D16327">
        <w:tc>
          <w:tcPr>
            <w:tcW w:w="2972" w:type="dxa"/>
          </w:tcPr>
          <w:p w14:paraId="2D8FF7B6" w14:textId="6112B036" w:rsidR="00EA23CD" w:rsidRPr="00CF43DB" w:rsidRDefault="00EA23CD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07/12/2023</w:t>
            </w:r>
          </w:p>
        </w:tc>
        <w:tc>
          <w:tcPr>
            <w:tcW w:w="6090" w:type="dxa"/>
          </w:tcPr>
          <w:p w14:paraId="071EC8E7" w14:textId="1D0B0AC4" w:rsidR="00EA23CD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Análise de recursos e homologação das 15 inscrições classificadas pelo CGFMHIS</w:t>
            </w:r>
          </w:p>
        </w:tc>
      </w:tr>
      <w:tr w:rsidR="00DD547C" w:rsidRPr="00D16327" w14:paraId="3EE063C7" w14:textId="77777777" w:rsidTr="00D16327">
        <w:tc>
          <w:tcPr>
            <w:tcW w:w="2972" w:type="dxa"/>
          </w:tcPr>
          <w:p w14:paraId="52A8BE34" w14:textId="474F165B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08/12/2023</w:t>
            </w:r>
          </w:p>
        </w:tc>
        <w:tc>
          <w:tcPr>
            <w:tcW w:w="6090" w:type="dxa"/>
          </w:tcPr>
          <w:p w14:paraId="2E95AB7B" w14:textId="69AF9226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Publicação da relação das 15 famílias classificadas pelo CGFMHIS</w:t>
            </w:r>
          </w:p>
        </w:tc>
      </w:tr>
      <w:tr w:rsidR="00DD547C" w:rsidRPr="00D16327" w14:paraId="799B802C" w14:textId="77777777" w:rsidTr="00D16327">
        <w:tc>
          <w:tcPr>
            <w:tcW w:w="2972" w:type="dxa"/>
          </w:tcPr>
          <w:p w14:paraId="2C5043FA" w14:textId="3C159E84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13/12/2023 a 14/12/2023</w:t>
            </w:r>
          </w:p>
        </w:tc>
        <w:tc>
          <w:tcPr>
            <w:tcW w:w="6090" w:type="dxa"/>
          </w:tcPr>
          <w:p w14:paraId="1E4C8BCA" w14:textId="0A571F2A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Prazo para impugnação e recurso da classificação das 15 famílias</w:t>
            </w:r>
          </w:p>
        </w:tc>
      </w:tr>
      <w:tr w:rsidR="00DD547C" w:rsidRPr="00D16327" w14:paraId="7DA31232" w14:textId="77777777" w:rsidTr="00D16327">
        <w:tc>
          <w:tcPr>
            <w:tcW w:w="2972" w:type="dxa"/>
          </w:tcPr>
          <w:p w14:paraId="17903F34" w14:textId="4ED13C5D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15/12/2023</w:t>
            </w:r>
          </w:p>
        </w:tc>
        <w:tc>
          <w:tcPr>
            <w:tcW w:w="6090" w:type="dxa"/>
          </w:tcPr>
          <w:p w14:paraId="13D56C29" w14:textId="69B91EB5" w:rsidR="00DD547C" w:rsidRPr="00CF43DB" w:rsidRDefault="00D16327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Análise</w:t>
            </w:r>
            <w:r w:rsidR="00DD547C" w:rsidRPr="00CF43DB">
              <w:rPr>
                <w:rFonts w:ascii="Arial Narrow" w:hAnsi="Arial Narrow" w:cs="Tahoma"/>
                <w:bCs/>
                <w:sz w:val="24"/>
                <w:szCs w:val="24"/>
              </w:rPr>
              <w:t xml:space="preserve"> das impugnações e recursos pelo CGFMHIS.</w:t>
            </w:r>
          </w:p>
        </w:tc>
      </w:tr>
      <w:tr w:rsidR="00DD547C" w:rsidRPr="00D16327" w14:paraId="264ACA78" w14:textId="77777777" w:rsidTr="00D16327">
        <w:tc>
          <w:tcPr>
            <w:tcW w:w="2972" w:type="dxa"/>
          </w:tcPr>
          <w:p w14:paraId="642A1DC5" w14:textId="5057F46F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19/12/223</w:t>
            </w:r>
          </w:p>
        </w:tc>
        <w:tc>
          <w:tcPr>
            <w:tcW w:w="6090" w:type="dxa"/>
          </w:tcPr>
          <w:p w14:paraId="3EC4FDD6" w14:textId="693A4300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Publicação da classificação final por ato do chefe do poder executivo.</w:t>
            </w:r>
          </w:p>
        </w:tc>
      </w:tr>
      <w:tr w:rsidR="00DD547C" w:rsidRPr="00D16327" w14:paraId="3EDB09BB" w14:textId="77777777" w:rsidTr="00D16327">
        <w:tc>
          <w:tcPr>
            <w:tcW w:w="2972" w:type="dxa"/>
          </w:tcPr>
          <w:p w14:paraId="34CC9059" w14:textId="3CD4BE7A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>Data a ser designada</w:t>
            </w:r>
          </w:p>
        </w:tc>
        <w:tc>
          <w:tcPr>
            <w:tcW w:w="6090" w:type="dxa"/>
          </w:tcPr>
          <w:p w14:paraId="26CA6D97" w14:textId="17951293" w:rsidR="00DD547C" w:rsidRPr="00CF43DB" w:rsidRDefault="00DD547C" w:rsidP="00D16327">
            <w:pPr>
              <w:spacing w:after="0"/>
              <w:contextualSpacing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CF43DB">
              <w:rPr>
                <w:rFonts w:ascii="Arial Narrow" w:hAnsi="Arial Narrow" w:cs="Tahoma"/>
                <w:bCs/>
                <w:sz w:val="24"/>
                <w:szCs w:val="24"/>
              </w:rPr>
              <w:t xml:space="preserve">Sorteio dos imóveis em ato publico </w:t>
            </w:r>
          </w:p>
        </w:tc>
      </w:tr>
    </w:tbl>
    <w:p w14:paraId="6E5987A8" w14:textId="77777777" w:rsidR="0062540C" w:rsidRPr="00D16327" w:rsidRDefault="0062540C" w:rsidP="00D16327">
      <w:pPr>
        <w:spacing w:after="0"/>
        <w:contextualSpacing/>
        <w:jc w:val="both"/>
        <w:rPr>
          <w:rFonts w:ascii="Arial Narrow" w:hAnsi="Arial Narrow" w:cs="Tahoma"/>
          <w:b/>
          <w:sz w:val="24"/>
          <w:szCs w:val="24"/>
        </w:rPr>
      </w:pPr>
    </w:p>
    <w:p w14:paraId="56AE8441" w14:textId="4CF6610D" w:rsidR="00AA4791" w:rsidRPr="00D16327" w:rsidRDefault="005456DB" w:rsidP="00D16327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4536" w:hanging="4536"/>
        <w:contextualSpacing/>
        <w:jc w:val="both"/>
        <w:rPr>
          <w:rFonts w:ascii="Arial Narrow" w:hAnsi="Arial Narrow" w:cs="Tahoma"/>
          <w:sz w:val="24"/>
          <w:szCs w:val="24"/>
        </w:rPr>
      </w:pPr>
      <w:r w:rsidRPr="00D16327">
        <w:rPr>
          <w:rFonts w:ascii="Arial Narrow" w:hAnsi="Arial Narrow" w:cs="Tahoma"/>
          <w:sz w:val="24"/>
          <w:szCs w:val="24"/>
        </w:rPr>
        <w:tab/>
      </w:r>
      <w:r w:rsidRPr="00D16327">
        <w:rPr>
          <w:rFonts w:ascii="Arial Narrow" w:hAnsi="Arial Narrow" w:cs="Tahoma"/>
          <w:sz w:val="24"/>
          <w:szCs w:val="24"/>
        </w:rPr>
        <w:tab/>
      </w:r>
    </w:p>
    <w:p w14:paraId="376192CB" w14:textId="77777777" w:rsidR="000537EC" w:rsidRDefault="00D16327" w:rsidP="00D16327">
      <w:pPr>
        <w:spacing w:after="0" w:line="360" w:lineRule="auto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D16327">
        <w:rPr>
          <w:rFonts w:ascii="Arial Narrow" w:hAnsi="Arial Narrow" w:cs="Tahoma"/>
          <w:sz w:val="24"/>
          <w:szCs w:val="24"/>
        </w:rPr>
        <w:t xml:space="preserve">No anexo VIII,  </w:t>
      </w:r>
    </w:p>
    <w:p w14:paraId="00AD9A22" w14:textId="54CA69D7" w:rsidR="00D16327" w:rsidRPr="00D16327" w:rsidRDefault="000537EC" w:rsidP="00D16327">
      <w:pPr>
        <w:spacing w:after="0" w:line="360" w:lineRule="auto"/>
        <w:ind w:firstLine="709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</w:t>
      </w:r>
      <w:r w:rsidR="00D16327" w:rsidRPr="00D16327">
        <w:rPr>
          <w:rFonts w:ascii="Arial Narrow" w:hAnsi="Arial Narrow" w:cs="Tahoma"/>
          <w:sz w:val="24"/>
          <w:szCs w:val="24"/>
        </w:rPr>
        <w:t>nde se lê:</w:t>
      </w:r>
    </w:p>
    <w:p w14:paraId="44ED63D7" w14:textId="77777777" w:rsidR="00D16327" w:rsidRPr="00D16327" w:rsidRDefault="00D16327" w:rsidP="00D16327">
      <w:pPr>
        <w:spacing w:after="0" w:line="360" w:lineRule="auto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271E7123" w14:textId="3BBA47B0" w:rsidR="00D16327" w:rsidRPr="00D16327" w:rsidRDefault="00D16327" w:rsidP="00D16327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16327">
        <w:rPr>
          <w:rFonts w:ascii="Arial Narrow" w:hAnsi="Arial Narrow"/>
          <w:sz w:val="24"/>
          <w:szCs w:val="24"/>
        </w:rPr>
        <w:t>2.1 O prazo de vigência e de manutenção dos encargos é de 10 (dez) anos, contados a partir da data de assinatura do Termo de cessão de Uso, prazo este que pode ser prorrogado por igual período, desde que ainda persistam as condições de que trata o caput do art. 1º da Lei Estadual nº 18.482, de 1º de agosto de 2022. Vencido o prazo de vigência e cumpridos os encargos da cessão de uso, o imóvel será devolvido ao Município. Não cumpridos os prazos ou os encargos o imóvel reverterá ao Município a qualquer tempo.</w:t>
      </w:r>
    </w:p>
    <w:p w14:paraId="27D6A3C4" w14:textId="77777777" w:rsidR="00D16327" w:rsidRPr="00D16327" w:rsidRDefault="00D16327" w:rsidP="00D16327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1684C105" w14:textId="14ABC18F" w:rsidR="00D16327" w:rsidRPr="00D16327" w:rsidRDefault="00D16327" w:rsidP="00D16327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16327">
        <w:rPr>
          <w:rFonts w:ascii="Arial Narrow" w:hAnsi="Arial Narrow"/>
          <w:sz w:val="24"/>
          <w:szCs w:val="24"/>
        </w:rPr>
        <w:t>Leia-se</w:t>
      </w:r>
    </w:p>
    <w:p w14:paraId="3AC5B7BF" w14:textId="77777777" w:rsidR="00D16327" w:rsidRPr="00D16327" w:rsidRDefault="00D16327" w:rsidP="00D16327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0F5346AD" w14:textId="29DB0FC5" w:rsidR="00D16327" w:rsidRPr="00D16327" w:rsidRDefault="00D16327" w:rsidP="00D16327">
      <w:pPr>
        <w:spacing w:after="0" w:line="360" w:lineRule="auto"/>
        <w:ind w:firstLine="709"/>
        <w:jc w:val="both"/>
        <w:rPr>
          <w:rFonts w:ascii="Arial Narrow" w:hAnsi="Arial Narrow" w:cs="Tahoma"/>
          <w:sz w:val="24"/>
          <w:szCs w:val="24"/>
        </w:rPr>
      </w:pPr>
      <w:bookmarkStart w:id="0" w:name="_GoBack"/>
      <w:r w:rsidRPr="00D16327">
        <w:rPr>
          <w:rFonts w:ascii="Arial Narrow" w:hAnsi="Arial Narrow"/>
          <w:sz w:val="24"/>
          <w:szCs w:val="24"/>
        </w:rPr>
        <w:t>2.1 O prazo de vigência e de manutenção dos encargos é de até 10 (dez) anos, contados a partir da data de assinatura do Termo de cessão de Uso, prazo este que pode ser prorrogado por igual período, desde que ainda persistam as condições de que trata o caput do art. 1º da Lei Estadual nº 18.482, de 1º de agosto de 2022. Vencido o prazo de vigência e cumpridos os encargos da cessão de uso, o imóvel será devolvido ao Município. Não cumpridos os prazos ou os encargos o imóvel reverterá ao Município a qualquer tempo.</w:t>
      </w:r>
    </w:p>
    <w:bookmarkEnd w:id="0"/>
    <w:p w14:paraId="6EC63823" w14:textId="77777777" w:rsidR="00D16327" w:rsidRPr="00D16327" w:rsidRDefault="00D16327" w:rsidP="00D16327">
      <w:pPr>
        <w:spacing w:after="0"/>
        <w:jc w:val="both"/>
        <w:rPr>
          <w:rFonts w:ascii="Arial Narrow" w:hAnsi="Arial Narrow" w:cs="Tahoma"/>
          <w:b/>
          <w:sz w:val="24"/>
          <w:szCs w:val="24"/>
        </w:rPr>
      </w:pPr>
    </w:p>
    <w:sectPr w:rsidR="00D16327" w:rsidRPr="00D16327" w:rsidSect="001A0542">
      <w:pgSz w:w="11906" w:h="16838" w:code="9"/>
      <w:pgMar w:top="1440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139"/>
    <w:multiLevelType w:val="hybridMultilevel"/>
    <w:tmpl w:val="B17A4594"/>
    <w:lvl w:ilvl="0" w:tplc="028E55B6">
      <w:start w:val="1"/>
      <w:numFmt w:val="decimal"/>
      <w:lvlText w:val="%1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DC18B8"/>
    <w:multiLevelType w:val="hybridMultilevel"/>
    <w:tmpl w:val="83D61B34"/>
    <w:lvl w:ilvl="0" w:tplc="0B2298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40929"/>
    <w:multiLevelType w:val="hybridMultilevel"/>
    <w:tmpl w:val="648601E6"/>
    <w:lvl w:ilvl="0" w:tplc="08D2A12A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749FF"/>
    <w:multiLevelType w:val="hybridMultilevel"/>
    <w:tmpl w:val="DFA2D796"/>
    <w:lvl w:ilvl="0" w:tplc="2E04CF4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C"/>
    <w:rsid w:val="000264DE"/>
    <w:rsid w:val="00031831"/>
    <w:rsid w:val="000537EC"/>
    <w:rsid w:val="00066688"/>
    <w:rsid w:val="000772F3"/>
    <w:rsid w:val="0009461E"/>
    <w:rsid w:val="00184273"/>
    <w:rsid w:val="001A0542"/>
    <w:rsid w:val="002A600F"/>
    <w:rsid w:val="003C40E6"/>
    <w:rsid w:val="004C3BDD"/>
    <w:rsid w:val="004D4A3F"/>
    <w:rsid w:val="005456DB"/>
    <w:rsid w:val="005A5A06"/>
    <w:rsid w:val="005B3FFD"/>
    <w:rsid w:val="0062540C"/>
    <w:rsid w:val="00647F19"/>
    <w:rsid w:val="00695F28"/>
    <w:rsid w:val="007D0514"/>
    <w:rsid w:val="007F1682"/>
    <w:rsid w:val="00843CB3"/>
    <w:rsid w:val="00921960"/>
    <w:rsid w:val="00A76E6C"/>
    <w:rsid w:val="00AA4791"/>
    <w:rsid w:val="00AA6A6A"/>
    <w:rsid w:val="00B3198D"/>
    <w:rsid w:val="00BB4EE7"/>
    <w:rsid w:val="00C00437"/>
    <w:rsid w:val="00C35615"/>
    <w:rsid w:val="00CA69F3"/>
    <w:rsid w:val="00CE3B7D"/>
    <w:rsid w:val="00CF43DB"/>
    <w:rsid w:val="00D16327"/>
    <w:rsid w:val="00DD547C"/>
    <w:rsid w:val="00E004F1"/>
    <w:rsid w:val="00E662D6"/>
    <w:rsid w:val="00EA23CD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A787"/>
  <w15:chartTrackingRefBased/>
  <w15:docId w15:val="{98E938E2-04FA-4103-9F49-C548306A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4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B4E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76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B4E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B4EE7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B4E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D4A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4791"/>
    <w:rPr>
      <w:b/>
      <w:bCs/>
    </w:rPr>
  </w:style>
  <w:style w:type="table" w:styleId="Tabelacomgrade">
    <w:name w:val="Table Grid"/>
    <w:basedOn w:val="Tabelanormal"/>
    <w:uiPriority w:val="39"/>
    <w:rsid w:val="00EA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RH2</cp:lastModifiedBy>
  <cp:revision>2</cp:revision>
  <cp:lastPrinted>2023-11-14T12:41:00Z</cp:lastPrinted>
  <dcterms:created xsi:type="dcterms:W3CDTF">2023-11-16T19:25:00Z</dcterms:created>
  <dcterms:modified xsi:type="dcterms:W3CDTF">2023-11-16T19:25:00Z</dcterms:modified>
</cp:coreProperties>
</file>