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6D" w:rsidRPr="00A32C6D" w:rsidRDefault="00A32C6D" w:rsidP="00A32C6D">
      <w:pPr>
        <w:rPr>
          <w:rFonts w:ascii="Arial Narrow" w:hAnsi="Arial Narrow"/>
          <w:b/>
          <w:color w:val="000000"/>
          <w:sz w:val="24"/>
          <w:shd w:val="clear" w:color="auto" w:fill="FFFFFF"/>
        </w:rPr>
      </w:pPr>
      <w:r w:rsidRPr="00A32C6D">
        <w:rPr>
          <w:rFonts w:ascii="Arial Narrow" w:hAnsi="Arial Narrow"/>
          <w:b/>
          <w:color w:val="000000"/>
          <w:sz w:val="24"/>
          <w:shd w:val="clear" w:color="auto" w:fill="FFFFFF"/>
        </w:rPr>
        <w:t>LEI Nº 889 DE 15 DE FEVEREIRO DE 2022.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</w:p>
    <w:p w:rsidR="00A32C6D" w:rsidRPr="00171353" w:rsidRDefault="00A32C6D" w:rsidP="00A32C6D">
      <w:pPr>
        <w:spacing w:line="360" w:lineRule="auto"/>
        <w:ind w:left="2268"/>
        <w:jc w:val="both"/>
        <w:rPr>
          <w:rFonts w:ascii="Arial Narrow" w:hAnsi="Arial Narrow"/>
          <w:b/>
        </w:rPr>
      </w:pPr>
      <w:r w:rsidRPr="00171353">
        <w:rPr>
          <w:rFonts w:ascii="Arial Narrow" w:hAnsi="Arial Narrow"/>
          <w:b/>
        </w:rPr>
        <w:t>“AUTORIZA O PAGAMENTO DE VALE ALIMENTAÇÃO AOS SERVIDORES PÚBLICOS MUNICIPAIS E DÁ OUTRAS PROVIDÊNCIAS. ”</w:t>
      </w:r>
    </w:p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</w:p>
    <w:p w:rsidR="00A32C6D" w:rsidRDefault="00A32C6D" w:rsidP="00A32C6D">
      <w:pPr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alibri"/>
          <w:b/>
        </w:rPr>
        <w:t xml:space="preserve">OSMAR TOZZO, </w:t>
      </w:r>
      <w:r>
        <w:rPr>
          <w:rFonts w:ascii="Arial Narrow" w:hAnsi="Arial Narrow" w:cs="Calibri"/>
        </w:rPr>
        <w:t>Prefeito Municipal de Passos Maia, Estado de Santa Catarina,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</w:rPr>
        <w:t xml:space="preserve">no uso de suas atribuições legais, estribado no art. 62, V, da Lei Orgânica Municipal </w:t>
      </w:r>
      <w:r>
        <w:rPr>
          <w:rFonts w:ascii="Arial Narrow" w:hAnsi="Arial Narrow" w:cs="Courier New"/>
          <w:b/>
          <w:i/>
        </w:rPr>
        <w:t>FAZ SABER</w:t>
      </w:r>
      <w:r>
        <w:rPr>
          <w:rFonts w:ascii="Arial Narrow" w:hAnsi="Arial Narrow" w:cs="Courier New"/>
        </w:rPr>
        <w:t xml:space="preserve"> a todos os habitantes do município que a Câmara Municipal de Vereadores aprovou e ele sanciona a seguinte Lei:</w:t>
      </w:r>
    </w:p>
    <w:p w:rsidR="00A32C6D" w:rsidRPr="00A32C6D" w:rsidRDefault="00A32C6D" w:rsidP="00A32C6D">
      <w:pPr>
        <w:ind w:firstLine="708"/>
        <w:jc w:val="both"/>
        <w:rPr>
          <w:rFonts w:ascii="Arial Narrow" w:hAnsi="Arial Narrow" w:cs="Courier New"/>
        </w:rPr>
      </w:pPr>
    </w:p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  <w:b/>
        </w:rPr>
        <w:t>Art. 1º</w:t>
      </w:r>
      <w:r>
        <w:rPr>
          <w:rFonts w:ascii="Arial Narrow" w:hAnsi="Arial Narrow"/>
        </w:rPr>
        <w:t xml:space="preserve"> -</w:t>
      </w:r>
      <w:r w:rsidRPr="00171353">
        <w:rPr>
          <w:rFonts w:ascii="Arial Narrow" w:hAnsi="Arial Narrow"/>
        </w:rPr>
        <w:t xml:space="preserve"> Fica o </w:t>
      </w:r>
      <w:r>
        <w:rPr>
          <w:rFonts w:ascii="Arial Narrow" w:hAnsi="Arial Narrow"/>
        </w:rPr>
        <w:t xml:space="preserve">Chefe do </w:t>
      </w:r>
      <w:r w:rsidRPr="00171353">
        <w:rPr>
          <w:rFonts w:ascii="Arial Narrow" w:hAnsi="Arial Narrow"/>
        </w:rPr>
        <w:t>Poder Executivo Municipal autorizado a conceder vale alimentação mensal aos servidores públicos municipais ativos do Poder executivo, efetivos e comissionados</w:t>
      </w:r>
      <w:bookmarkStart w:id="0" w:name="artigo_2"/>
      <w:bookmarkEnd w:id="0"/>
      <w:r>
        <w:rPr>
          <w:rFonts w:ascii="Arial Narrow" w:hAnsi="Arial Narrow"/>
        </w:rPr>
        <w:t>.</w:t>
      </w:r>
    </w:p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6C09B3">
        <w:rPr>
          <w:rFonts w:ascii="Arial Narrow" w:hAnsi="Arial Narrow"/>
          <w:b/>
        </w:rPr>
        <w:t>Art. 2°</w:t>
      </w:r>
      <w:r w:rsidRPr="00171353">
        <w:rPr>
          <w:rFonts w:ascii="Arial Narrow" w:hAnsi="Arial Narrow"/>
        </w:rPr>
        <w:t> O auxílio-alimentação será concedido em pecúnia,</w:t>
      </w:r>
      <w:r>
        <w:rPr>
          <w:rFonts w:ascii="Arial Narrow" w:hAnsi="Arial Narrow"/>
        </w:rPr>
        <w:t xml:space="preserve"> </w:t>
      </w:r>
      <w:r w:rsidRPr="00171353">
        <w:rPr>
          <w:rFonts w:ascii="Arial Narrow" w:hAnsi="Arial Narrow"/>
        </w:rPr>
        <w:t>mediante consignação de crédi</w:t>
      </w:r>
      <w:r>
        <w:rPr>
          <w:rFonts w:ascii="Arial Narrow" w:hAnsi="Arial Narrow"/>
        </w:rPr>
        <w:t>to em cartão de vale alimentação,</w:t>
      </w:r>
      <w:r w:rsidRPr="001713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nos valores conforme tabela do art. 3º</w:t>
      </w:r>
      <w:r w:rsidRPr="00171353">
        <w:rPr>
          <w:rFonts w:ascii="Arial Narrow" w:hAnsi="Arial Narrow"/>
        </w:rPr>
        <w:t>, sendo</w:t>
      </w:r>
      <w:r>
        <w:rPr>
          <w:rFonts w:ascii="Arial Narrow" w:hAnsi="Arial Narrow"/>
        </w:rPr>
        <w:t xml:space="preserve"> reajustado anualmente pelo IPCA </w:t>
      </w:r>
      <w:r w:rsidRPr="00171353">
        <w:rPr>
          <w:rFonts w:ascii="Arial Narrow" w:hAnsi="Arial Narrow"/>
        </w:rPr>
        <w:t>na mesma data base da remuneração.</w:t>
      </w:r>
    </w:p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Art.</w:t>
      </w:r>
      <w:r w:rsidRPr="006C09B3">
        <w:rPr>
          <w:rFonts w:ascii="Arial Narrow" w:hAnsi="Arial Narrow"/>
          <w:b/>
        </w:rPr>
        <w:t xml:space="preserve"> 3</w:t>
      </w:r>
      <w:r>
        <w:rPr>
          <w:rFonts w:ascii="Arial Narrow" w:hAnsi="Arial Narrow"/>
          <w:b/>
        </w:rPr>
        <w:t>º</w:t>
      </w:r>
      <w:r w:rsidRPr="00171353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O</w:t>
      </w:r>
      <w:r w:rsidRPr="00171353">
        <w:rPr>
          <w:rFonts w:ascii="Arial Narrow" w:hAnsi="Arial Narrow"/>
        </w:rPr>
        <w:t xml:space="preserve"> auxílio alimentação é devido aos servidores assíduos para fazer frente às despesas com alimentação em dia de trabalho normal e será concedido proporcionalmente à carga horária laboral, sendo: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763"/>
        <w:gridCol w:w="3242"/>
      </w:tblGrid>
      <w:tr w:rsidR="00A32C6D" w:rsidRPr="00863DC8" w:rsidTr="005732BE">
        <w:tc>
          <w:tcPr>
            <w:tcW w:w="2373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863DC8">
              <w:rPr>
                <w:rFonts w:ascii="Arial Narrow" w:hAnsi="Arial Narrow"/>
              </w:rPr>
              <w:t>Salário Base</w:t>
            </w:r>
          </w:p>
        </w:tc>
        <w:tc>
          <w:tcPr>
            <w:tcW w:w="3831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Carga Horária semanal</w:t>
            </w:r>
          </w:p>
        </w:tc>
        <w:tc>
          <w:tcPr>
            <w:tcW w:w="3291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63DC8">
              <w:rPr>
                <w:rFonts w:ascii="Arial Narrow" w:hAnsi="Arial Narrow"/>
              </w:rPr>
              <w:t>Valor do Vale Alimentação</w:t>
            </w:r>
          </w:p>
        </w:tc>
      </w:tr>
      <w:tr w:rsidR="00A32C6D" w:rsidRPr="00863DC8" w:rsidTr="005732BE">
        <w:tc>
          <w:tcPr>
            <w:tcW w:w="2373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863DC8">
              <w:rPr>
                <w:rFonts w:ascii="Arial Narrow" w:hAnsi="Arial Narrow"/>
              </w:rPr>
              <w:t>Até R$ 2.</w:t>
            </w:r>
            <w:r>
              <w:rPr>
                <w:rFonts w:ascii="Arial Narrow" w:hAnsi="Arial Narrow"/>
              </w:rPr>
              <w:t>2</w:t>
            </w:r>
            <w:r w:rsidRPr="00863DC8">
              <w:rPr>
                <w:rFonts w:ascii="Arial Narrow" w:hAnsi="Arial Narrow"/>
              </w:rPr>
              <w:t>00,00</w:t>
            </w:r>
          </w:p>
        </w:tc>
        <w:tc>
          <w:tcPr>
            <w:tcW w:w="3831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3291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63DC8">
              <w:rPr>
                <w:rFonts w:ascii="Arial Narrow" w:hAnsi="Arial Narrow"/>
              </w:rPr>
              <w:t>R$ 300,00</w:t>
            </w:r>
          </w:p>
        </w:tc>
      </w:tr>
      <w:tr w:rsidR="00A32C6D" w:rsidRPr="00863DC8" w:rsidTr="005732BE">
        <w:tc>
          <w:tcPr>
            <w:tcW w:w="2373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Até R$ 1.650,00</w:t>
            </w:r>
          </w:p>
        </w:tc>
        <w:tc>
          <w:tcPr>
            <w:tcW w:w="3831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3291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63DC8">
              <w:rPr>
                <w:rFonts w:ascii="Arial Narrow" w:hAnsi="Arial Narrow"/>
              </w:rPr>
              <w:t>R$</w:t>
            </w:r>
            <w:r>
              <w:rPr>
                <w:rFonts w:ascii="Arial Narrow" w:hAnsi="Arial Narrow"/>
              </w:rPr>
              <w:t>225,00</w:t>
            </w:r>
          </w:p>
        </w:tc>
      </w:tr>
      <w:tr w:rsidR="00A32C6D" w:rsidRPr="00863DC8" w:rsidTr="005732BE">
        <w:tc>
          <w:tcPr>
            <w:tcW w:w="2373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Até R$  1.100,00</w:t>
            </w:r>
          </w:p>
        </w:tc>
        <w:tc>
          <w:tcPr>
            <w:tcW w:w="3831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3291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63DC8">
              <w:rPr>
                <w:rFonts w:ascii="Arial Narrow" w:hAnsi="Arial Narrow"/>
              </w:rPr>
              <w:t>R$</w:t>
            </w:r>
            <w:r>
              <w:rPr>
                <w:rFonts w:ascii="Arial Narrow" w:hAnsi="Arial Narrow"/>
              </w:rPr>
              <w:t>150,00</w:t>
            </w:r>
          </w:p>
        </w:tc>
      </w:tr>
      <w:tr w:rsidR="00A32C6D" w:rsidRPr="00863DC8" w:rsidTr="005732BE">
        <w:tc>
          <w:tcPr>
            <w:tcW w:w="2373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Até R$ 550,00</w:t>
            </w:r>
          </w:p>
        </w:tc>
        <w:tc>
          <w:tcPr>
            <w:tcW w:w="3831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291" w:type="dxa"/>
            <w:shd w:val="clear" w:color="auto" w:fill="auto"/>
          </w:tcPr>
          <w:p w:rsidR="00A32C6D" w:rsidRPr="00863DC8" w:rsidRDefault="00A32C6D" w:rsidP="005732BE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63DC8">
              <w:rPr>
                <w:rFonts w:ascii="Arial Narrow" w:hAnsi="Arial Narrow"/>
              </w:rPr>
              <w:t>R$</w:t>
            </w:r>
            <w:r>
              <w:rPr>
                <w:rFonts w:ascii="Arial Narrow" w:hAnsi="Arial Narrow"/>
              </w:rPr>
              <w:t>75,00</w:t>
            </w:r>
          </w:p>
        </w:tc>
      </w:tr>
    </w:tbl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</w:p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>I - 100% do benefício para os servidores que laboram 40 horas semanais;</w:t>
      </w:r>
    </w:p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>II - 75% do benefício para os servidores que laboram 30 horas semanais;</w:t>
      </w:r>
    </w:p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>III - 50% do benefício para os servidores que laboram 20 horas semanais;</w:t>
      </w:r>
    </w:p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>IV - 25% do benefício para os servidores que laboram 10 horas semanais.</w:t>
      </w:r>
    </w:p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lastRenderedPageBreak/>
        <w:t>§ 1º</w:t>
      </w:r>
      <w:r>
        <w:rPr>
          <w:rFonts w:ascii="Arial Narrow" w:hAnsi="Arial Narrow"/>
        </w:rPr>
        <w:t xml:space="preserve"> -</w:t>
      </w:r>
      <w:r w:rsidRPr="00171353">
        <w:rPr>
          <w:rFonts w:ascii="Arial Narrow" w:hAnsi="Arial Narrow"/>
        </w:rPr>
        <w:t xml:space="preserve"> O servidor efetivo que estiver com carga horária reduzida ou que atua em regime de escalas e que não se enquadra nos incisos do caput, receberá o auxílio-alimentação de forma proporcional à carga horária semanal laborada. 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 xml:space="preserve">§ 2º </w:t>
      </w:r>
      <w:r>
        <w:rPr>
          <w:rFonts w:ascii="Arial Narrow" w:hAnsi="Arial Narrow"/>
        </w:rPr>
        <w:t xml:space="preserve">- </w:t>
      </w:r>
      <w:r w:rsidRPr="00171353">
        <w:rPr>
          <w:rFonts w:ascii="Arial Narrow" w:hAnsi="Arial Narrow"/>
        </w:rPr>
        <w:t>Para efeito dos incisos do caput não é considerado o horário extraordinário e a realização de jornada em regime suplementar.</w:t>
      </w:r>
    </w:p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>§ 3º</w:t>
      </w:r>
      <w:r>
        <w:rPr>
          <w:rFonts w:ascii="Arial Narrow" w:hAnsi="Arial Narrow"/>
        </w:rPr>
        <w:t xml:space="preserve"> -</w:t>
      </w:r>
      <w:r w:rsidRPr="00171353">
        <w:rPr>
          <w:rFonts w:ascii="Arial Narrow" w:hAnsi="Arial Narrow"/>
        </w:rPr>
        <w:t xml:space="preserve"> Os servidores somente terão direito ao benefício mediante a comprovação de assiduidade e pontualidade de horários, exclusivamente confirmada através de seus registros digitais no cartão ponto.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§ 4</w:t>
      </w:r>
      <w:r w:rsidRPr="00171353">
        <w:rPr>
          <w:rFonts w:ascii="Arial Narrow" w:hAnsi="Arial Narrow"/>
        </w:rPr>
        <w:t>º</w:t>
      </w:r>
      <w:r>
        <w:rPr>
          <w:rFonts w:ascii="Arial Narrow" w:hAnsi="Arial Narrow"/>
        </w:rPr>
        <w:t xml:space="preserve"> -</w:t>
      </w:r>
      <w:r w:rsidRPr="00171353">
        <w:rPr>
          <w:rFonts w:ascii="Arial Narrow" w:hAnsi="Arial Narrow"/>
        </w:rPr>
        <w:t xml:space="preserve"> Na hipótese de acúmulo lícito de cargos ou funções públicas, o auxílio-alimentação será concedido apenas uma vez.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 xml:space="preserve">§ </w:t>
      </w:r>
      <w:r>
        <w:rPr>
          <w:rFonts w:ascii="Arial Narrow" w:hAnsi="Arial Narrow"/>
        </w:rPr>
        <w:t>5</w:t>
      </w:r>
      <w:r w:rsidRPr="00171353">
        <w:rPr>
          <w:rFonts w:ascii="Arial Narrow" w:hAnsi="Arial Narrow"/>
        </w:rPr>
        <w:t>º </w:t>
      </w:r>
      <w:r>
        <w:rPr>
          <w:rFonts w:ascii="Arial Narrow" w:hAnsi="Arial Narrow"/>
        </w:rPr>
        <w:t xml:space="preserve">- </w:t>
      </w:r>
      <w:r w:rsidRPr="00171353">
        <w:rPr>
          <w:rFonts w:ascii="Arial Narrow" w:hAnsi="Arial Narrow"/>
        </w:rPr>
        <w:t>Considerar-se-á para o desconto do auxílio-alimentação, por dia não trabalhado, a proporcionalidade de 22 dias.</w:t>
      </w:r>
    </w:p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§ 6</w:t>
      </w:r>
      <w:r w:rsidRPr="00171353">
        <w:rPr>
          <w:rFonts w:ascii="Arial Narrow" w:hAnsi="Arial Narrow"/>
        </w:rPr>
        <w:t>º </w:t>
      </w:r>
      <w:r>
        <w:rPr>
          <w:rFonts w:ascii="Arial Narrow" w:hAnsi="Arial Narrow"/>
        </w:rPr>
        <w:t xml:space="preserve">- </w:t>
      </w:r>
      <w:r w:rsidRPr="00171353">
        <w:rPr>
          <w:rFonts w:ascii="Arial Narrow" w:hAnsi="Arial Narrow"/>
        </w:rPr>
        <w:t>Para os efeitos deste artigo, considera-se como dia trabalhado a participação do servidor em conferências, congressos, treinamentos, cursos ou outros eventos similares, sem deslocamento do município.</w:t>
      </w:r>
    </w:p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 xml:space="preserve">§7º - O auxílio-alimentação é </w:t>
      </w:r>
      <w:proofErr w:type="spellStart"/>
      <w:r w:rsidRPr="00175BEA">
        <w:rPr>
          <w:rFonts w:ascii="Arial Narrow" w:hAnsi="Arial Narrow"/>
        </w:rPr>
        <w:t>inacumulável</w:t>
      </w:r>
      <w:proofErr w:type="spellEnd"/>
      <w:r w:rsidRPr="00175BEA">
        <w:rPr>
          <w:rFonts w:ascii="Arial Narrow" w:hAnsi="Arial Narrow"/>
        </w:rPr>
        <w:t xml:space="preserve"> com outros de espécie semelhante, tais como o fornecimento de alimentação aos servidores pelo Poder Executivo e/ou através de convênio ou vantagem pessoal originária de qualquer forma de auxílio ou benefício alimentação, salvo os servidores municipais lotados na Secretaria Municipal de Obras e agricultura, que exercem atividades externas, beneficiados pelo "auxílio-refeição", os quais continuarão recebendo o referido benefício e também terão direito ao auxílio-alimentação previstos nesta Lei.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§8</w:t>
      </w:r>
      <w:r w:rsidRPr="00175BEA">
        <w:rPr>
          <w:rFonts w:ascii="Arial Narrow" w:hAnsi="Arial Narrow"/>
        </w:rPr>
        <w:t>º</w:t>
      </w:r>
      <w:r>
        <w:rPr>
          <w:rFonts w:ascii="Arial Narrow" w:hAnsi="Arial Narrow"/>
        </w:rPr>
        <w:t xml:space="preserve"> - O valor do Salário Base de que trata essa lei, será reajustado anualmente pelo IPCA.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br/>
      </w:r>
      <w:r w:rsidRPr="006C09B3">
        <w:rPr>
          <w:rFonts w:ascii="Arial Narrow" w:hAnsi="Arial Narrow"/>
          <w:b/>
        </w:rPr>
        <w:t>Art. 4º</w:t>
      </w:r>
      <w:r w:rsidRPr="00171353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- </w:t>
      </w:r>
      <w:r w:rsidRPr="00171353">
        <w:rPr>
          <w:rFonts w:ascii="Arial Narrow" w:hAnsi="Arial Narrow"/>
        </w:rPr>
        <w:t>O auxílio-alimentação não será: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 xml:space="preserve">I – </w:t>
      </w:r>
      <w:proofErr w:type="gramStart"/>
      <w:r w:rsidRPr="00171353">
        <w:rPr>
          <w:rFonts w:ascii="Arial Narrow" w:hAnsi="Arial Narrow"/>
        </w:rPr>
        <w:t>incorporado</w:t>
      </w:r>
      <w:proofErr w:type="gramEnd"/>
      <w:r w:rsidRPr="00171353">
        <w:rPr>
          <w:rFonts w:ascii="Arial Narrow" w:hAnsi="Arial Narrow"/>
        </w:rPr>
        <w:t xml:space="preserve"> ao salário, remuneração ou pensão do servidor;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 xml:space="preserve">II – </w:t>
      </w:r>
      <w:proofErr w:type="gramStart"/>
      <w:r w:rsidRPr="00171353">
        <w:rPr>
          <w:rFonts w:ascii="Arial Narrow" w:hAnsi="Arial Narrow"/>
        </w:rPr>
        <w:t>configurado</w:t>
      </w:r>
      <w:proofErr w:type="gramEnd"/>
      <w:r w:rsidRPr="00171353">
        <w:rPr>
          <w:rFonts w:ascii="Arial Narrow" w:hAnsi="Arial Narrow"/>
        </w:rPr>
        <w:t xml:space="preserve"> como rendimento tributável e nem sofrerá incidência de contribuição previdenciária;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>III – caracterizado como salário-utilidade ou p</w:t>
      </w:r>
      <w:r>
        <w:rPr>
          <w:rFonts w:ascii="Arial Narrow" w:hAnsi="Arial Narrow"/>
        </w:rPr>
        <w:t>restação salarial "in natura";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 xml:space="preserve">IV – </w:t>
      </w:r>
      <w:proofErr w:type="gramStart"/>
      <w:r w:rsidRPr="00171353">
        <w:rPr>
          <w:rFonts w:ascii="Arial Narrow" w:hAnsi="Arial Narrow"/>
        </w:rPr>
        <w:t>concedido</w:t>
      </w:r>
      <w:proofErr w:type="gramEnd"/>
      <w:r w:rsidRPr="00171353">
        <w:rPr>
          <w:rFonts w:ascii="Arial Narrow" w:hAnsi="Arial Narrow"/>
        </w:rPr>
        <w:t xml:space="preserve"> a servidores que não estejam efetivamente em exercício;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Art. 5</w:t>
      </w:r>
      <w:r w:rsidRPr="00BA4D8A">
        <w:rPr>
          <w:rFonts w:ascii="Arial Narrow" w:hAnsi="Arial Narrow"/>
          <w:b/>
        </w:rPr>
        <w:t>°</w:t>
      </w:r>
      <w:r w:rsidRPr="00171353">
        <w:rPr>
          <w:rFonts w:ascii="Arial Narrow" w:hAnsi="Arial Narrow"/>
        </w:rPr>
        <w:t> O benefício não será concedido ao servidor que: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 xml:space="preserve">I – </w:t>
      </w:r>
      <w:proofErr w:type="gramStart"/>
      <w:r w:rsidRPr="00171353">
        <w:rPr>
          <w:rFonts w:ascii="Arial Narrow" w:hAnsi="Arial Narrow"/>
        </w:rPr>
        <w:t>não</w:t>
      </w:r>
      <w:proofErr w:type="gramEnd"/>
      <w:r w:rsidRPr="00171353">
        <w:rPr>
          <w:rFonts w:ascii="Arial Narrow" w:hAnsi="Arial Narrow"/>
        </w:rPr>
        <w:t xml:space="preserve"> esteja em efetivo exercício, inclusive por motivo de cessão a outro órgão ou entidade;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 xml:space="preserve">II – </w:t>
      </w:r>
      <w:proofErr w:type="gramStart"/>
      <w:r w:rsidRPr="00171353">
        <w:rPr>
          <w:rFonts w:ascii="Arial Narrow" w:hAnsi="Arial Narrow"/>
        </w:rPr>
        <w:t>não</w:t>
      </w:r>
      <w:proofErr w:type="gramEnd"/>
      <w:r w:rsidRPr="00171353">
        <w:rPr>
          <w:rFonts w:ascii="Arial Narrow" w:hAnsi="Arial Narrow"/>
        </w:rPr>
        <w:t xml:space="preserve"> cumpra efetivamente a jornada de trabalho semanal;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>III – estejam afastados por motivo de penalidade administrativa, nos casos previstos em Lei;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lastRenderedPageBreak/>
        <w:t xml:space="preserve">IV – </w:t>
      </w:r>
      <w:proofErr w:type="gramStart"/>
      <w:r w:rsidRPr="00171353">
        <w:rPr>
          <w:rFonts w:ascii="Arial Narrow" w:hAnsi="Arial Narrow"/>
        </w:rPr>
        <w:t>estejam</w:t>
      </w:r>
      <w:proofErr w:type="gramEnd"/>
      <w:r w:rsidRPr="00171353">
        <w:rPr>
          <w:rFonts w:ascii="Arial Narrow" w:hAnsi="Arial Narrow"/>
        </w:rPr>
        <w:t xml:space="preserve"> afastados por motivo de reclusão;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 xml:space="preserve">V – </w:t>
      </w:r>
      <w:proofErr w:type="gramStart"/>
      <w:r w:rsidRPr="00171353">
        <w:rPr>
          <w:rFonts w:ascii="Arial Narrow" w:hAnsi="Arial Narrow"/>
        </w:rPr>
        <w:t>não</w:t>
      </w:r>
      <w:proofErr w:type="gramEnd"/>
      <w:r w:rsidRPr="00171353">
        <w:rPr>
          <w:rFonts w:ascii="Arial Narrow" w:hAnsi="Arial Narrow"/>
        </w:rPr>
        <w:t xml:space="preserve"> estejam em efetivo exercício em razão do seu afastamento por auxílio-doença; 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 xml:space="preserve">VI – </w:t>
      </w:r>
      <w:proofErr w:type="gramStart"/>
      <w:r w:rsidRPr="00171353">
        <w:rPr>
          <w:rFonts w:ascii="Arial Narrow" w:hAnsi="Arial Narrow"/>
        </w:rPr>
        <w:t>foram</w:t>
      </w:r>
      <w:proofErr w:type="gramEnd"/>
      <w:r w:rsidRPr="00171353">
        <w:rPr>
          <w:rFonts w:ascii="Arial Narrow" w:hAnsi="Arial Narrow"/>
        </w:rPr>
        <w:t xml:space="preserve"> cedidos por outros órgãos ao Poder Público.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>VII – for inativo ou pensionista;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>VIII – estiver recebendo diária;</w:t>
      </w:r>
    </w:p>
    <w:p w:rsidR="00A32C6D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 xml:space="preserve">IX – </w:t>
      </w:r>
      <w:proofErr w:type="gramStart"/>
      <w:r w:rsidRPr="00171353">
        <w:rPr>
          <w:rFonts w:ascii="Arial Narrow" w:hAnsi="Arial Narrow"/>
        </w:rPr>
        <w:t>estiver</w:t>
      </w:r>
      <w:proofErr w:type="gramEnd"/>
      <w:r w:rsidRPr="00171353">
        <w:rPr>
          <w:rFonts w:ascii="Arial Narrow" w:hAnsi="Arial Narrow"/>
        </w:rPr>
        <w:t xml:space="preserve"> compensando carga horária.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X – </w:t>
      </w:r>
      <w:proofErr w:type="gramStart"/>
      <w:r>
        <w:rPr>
          <w:rFonts w:ascii="Arial Narrow" w:hAnsi="Arial Narrow"/>
        </w:rPr>
        <w:t>estiver</w:t>
      </w:r>
      <w:proofErr w:type="gramEnd"/>
      <w:r>
        <w:rPr>
          <w:rFonts w:ascii="Arial Narrow" w:hAnsi="Arial Narrow"/>
        </w:rPr>
        <w:t xml:space="preserve"> em </w:t>
      </w:r>
      <w:r w:rsidRPr="00175BEA">
        <w:rPr>
          <w:rFonts w:ascii="Arial Narrow" w:hAnsi="Arial Narrow"/>
        </w:rPr>
        <w:t>licença para tratamento de saúde;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 xml:space="preserve">XI - </w:t>
      </w:r>
      <w:r>
        <w:rPr>
          <w:rFonts w:ascii="Arial Narrow" w:hAnsi="Arial Narrow"/>
        </w:rPr>
        <w:t xml:space="preserve">estiver </w:t>
      </w:r>
      <w:proofErr w:type="gramStart"/>
      <w:r>
        <w:rPr>
          <w:rFonts w:ascii="Arial Narrow" w:hAnsi="Arial Narrow"/>
        </w:rPr>
        <w:t xml:space="preserve">em  </w:t>
      </w:r>
      <w:r w:rsidRPr="00175BEA">
        <w:rPr>
          <w:rFonts w:ascii="Arial Narrow" w:hAnsi="Arial Narrow"/>
        </w:rPr>
        <w:t>licença</w:t>
      </w:r>
      <w:proofErr w:type="gramEnd"/>
      <w:r w:rsidRPr="00175BEA">
        <w:rPr>
          <w:rFonts w:ascii="Arial Narrow" w:hAnsi="Arial Narrow"/>
        </w:rPr>
        <w:t>-prêmio;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 xml:space="preserve">XII - </w:t>
      </w:r>
      <w:r>
        <w:rPr>
          <w:rFonts w:ascii="Arial Narrow" w:hAnsi="Arial Narrow"/>
        </w:rPr>
        <w:t xml:space="preserve">estiver </w:t>
      </w:r>
      <w:proofErr w:type="gramStart"/>
      <w:r>
        <w:rPr>
          <w:rFonts w:ascii="Arial Narrow" w:hAnsi="Arial Narrow"/>
        </w:rPr>
        <w:t xml:space="preserve">em  </w:t>
      </w:r>
      <w:r w:rsidRPr="00175BEA">
        <w:rPr>
          <w:rFonts w:ascii="Arial Narrow" w:hAnsi="Arial Narrow"/>
        </w:rPr>
        <w:t>licença</w:t>
      </w:r>
      <w:proofErr w:type="gramEnd"/>
      <w:r w:rsidRPr="00175BEA">
        <w:rPr>
          <w:rFonts w:ascii="Arial Narrow" w:hAnsi="Arial Narrow"/>
        </w:rPr>
        <w:t xml:space="preserve"> à gestante;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 xml:space="preserve">XIII - </w:t>
      </w:r>
      <w:r>
        <w:rPr>
          <w:rFonts w:ascii="Arial Narrow" w:hAnsi="Arial Narrow"/>
        </w:rPr>
        <w:t xml:space="preserve">estiver em </w:t>
      </w:r>
      <w:r w:rsidRPr="00175BEA">
        <w:rPr>
          <w:rFonts w:ascii="Arial Narrow" w:hAnsi="Arial Narrow"/>
        </w:rPr>
        <w:t>licença para amamentar;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>XIV - licença à adotante;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 xml:space="preserve">XV - </w:t>
      </w:r>
      <w:proofErr w:type="spellStart"/>
      <w:proofErr w:type="gramStart"/>
      <w:r w:rsidRPr="00175BEA">
        <w:rPr>
          <w:rFonts w:ascii="Arial Narrow" w:hAnsi="Arial Narrow"/>
        </w:rPr>
        <w:t>licença-paternidade</w:t>
      </w:r>
      <w:proofErr w:type="spellEnd"/>
      <w:proofErr w:type="gramEnd"/>
      <w:r w:rsidRPr="00175BEA">
        <w:rPr>
          <w:rFonts w:ascii="Arial Narrow" w:hAnsi="Arial Narrow"/>
        </w:rPr>
        <w:t>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>XVI - licença por acidente em serviço;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>XVII - licença por motivo de doença em pessoa de família;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>XVIII - licença para serviço militar obrigatório;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>XIX - licença para tratar de interesses particulares;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 xml:space="preserve">XX - </w:t>
      </w:r>
      <w:proofErr w:type="gramStart"/>
      <w:r w:rsidRPr="00175BEA">
        <w:rPr>
          <w:rFonts w:ascii="Arial Narrow" w:hAnsi="Arial Narrow"/>
        </w:rPr>
        <w:t>licença</w:t>
      </w:r>
      <w:proofErr w:type="gramEnd"/>
      <w:r w:rsidRPr="00175BEA">
        <w:rPr>
          <w:rFonts w:ascii="Arial Narrow" w:hAnsi="Arial Narrow"/>
        </w:rPr>
        <w:t xml:space="preserve"> para acompanhar o cônjuge ou companheiro;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>XXI - licença para atividade política;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>XXII - licença para frequentar curso de pós-graduação;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>XXIII - férias;</w:t>
      </w:r>
    </w:p>
    <w:p w:rsidR="00A32C6D" w:rsidRPr="00175BEA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5BEA">
        <w:rPr>
          <w:rFonts w:ascii="Arial Narrow" w:hAnsi="Arial Narrow"/>
        </w:rPr>
        <w:t>XXIV - greve;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Art. 6</w:t>
      </w:r>
      <w:r w:rsidRPr="006C09B3">
        <w:rPr>
          <w:rFonts w:ascii="Arial Narrow" w:hAnsi="Arial Narrow"/>
          <w:b/>
        </w:rPr>
        <w:t>º</w:t>
      </w:r>
      <w:r w:rsidRPr="00171353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- </w:t>
      </w:r>
      <w:r w:rsidRPr="00171353">
        <w:rPr>
          <w:rFonts w:ascii="Arial Narrow" w:hAnsi="Arial Narrow"/>
        </w:rPr>
        <w:t>O pagamento indevido do auxílio-alimentação caracteriza falta grave, sujeitando o agente público responsável pelo apontamento da frequência ou a autoridade competente às penalidades previstas em lei.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>Parágrafo único. Os valores indevidamente recebidos serão restituídos ou compensados no mês subsequente à constatação da irregularidade.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6C09B3">
        <w:rPr>
          <w:rFonts w:ascii="Arial Narrow" w:hAnsi="Arial Narrow"/>
          <w:b/>
        </w:rPr>
        <w:t>Art. 7º</w:t>
      </w:r>
      <w:r w:rsidRPr="00171353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- </w:t>
      </w:r>
      <w:r w:rsidRPr="00171353">
        <w:rPr>
          <w:rFonts w:ascii="Arial Narrow" w:hAnsi="Arial Narrow"/>
        </w:rPr>
        <w:t>Fica o Chefe do Poder Executivo autorizado a regulamentar a presente Lei no que couber</w:t>
      </w:r>
      <w:r>
        <w:rPr>
          <w:rFonts w:ascii="Arial Narrow" w:hAnsi="Arial Narrow"/>
        </w:rPr>
        <w:t>, sempre mediante decreto</w:t>
      </w:r>
      <w:r w:rsidRPr="00171353">
        <w:rPr>
          <w:rFonts w:ascii="Arial Narrow" w:hAnsi="Arial Narrow"/>
        </w:rPr>
        <w:t>.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6C09B3">
        <w:rPr>
          <w:rFonts w:ascii="Arial Narrow" w:hAnsi="Arial Narrow"/>
          <w:b/>
        </w:rPr>
        <w:t>Art. 8º</w:t>
      </w:r>
      <w:r w:rsidRPr="00171353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- </w:t>
      </w:r>
      <w:r w:rsidRPr="00171353">
        <w:rPr>
          <w:rFonts w:ascii="Arial Narrow" w:hAnsi="Arial Narrow"/>
        </w:rPr>
        <w:t>As despesas para a implementação desta Lei correrão por conta de dotações orçamentárias próprias dos órgãos ou das entidades a que pertença o servidor, consignadas no orçamento anual do Poder Executivo.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6C09B3">
        <w:rPr>
          <w:rFonts w:ascii="Arial Narrow" w:hAnsi="Arial Narrow"/>
          <w:b/>
        </w:rPr>
        <w:t>Art. 9º</w:t>
      </w:r>
      <w:r w:rsidRPr="00171353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- </w:t>
      </w:r>
      <w:r w:rsidRPr="00171353">
        <w:rPr>
          <w:rFonts w:ascii="Arial Narrow" w:hAnsi="Arial Narrow"/>
        </w:rPr>
        <w:t>Esta Lei entra em vigor na data de sua publicação.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  <w:r w:rsidRPr="00171353">
        <w:rPr>
          <w:rFonts w:ascii="Arial Narrow" w:hAnsi="Arial Narrow"/>
        </w:rPr>
        <w:t xml:space="preserve">Passos Maia - SC, </w:t>
      </w:r>
      <w:r>
        <w:rPr>
          <w:rFonts w:ascii="Arial Narrow" w:hAnsi="Arial Narrow"/>
        </w:rPr>
        <w:t>15 de fevereiro de 2022</w:t>
      </w:r>
      <w:r w:rsidRPr="00171353">
        <w:rPr>
          <w:rFonts w:ascii="Arial Narrow" w:hAnsi="Arial Narrow"/>
        </w:rPr>
        <w:t>.</w:t>
      </w: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</w:p>
    <w:p w:rsidR="00A32C6D" w:rsidRPr="00C36971" w:rsidRDefault="00A32C6D" w:rsidP="00A32C6D">
      <w:pPr>
        <w:spacing w:line="360" w:lineRule="auto"/>
        <w:jc w:val="center"/>
        <w:rPr>
          <w:rFonts w:ascii="Arial Narrow" w:hAnsi="Arial Narrow"/>
          <w:sz w:val="24"/>
        </w:rPr>
      </w:pPr>
      <w:bookmarkStart w:id="1" w:name="_GoBack"/>
      <w:r w:rsidRPr="00C36971">
        <w:rPr>
          <w:rFonts w:ascii="Arial Narrow" w:hAnsi="Arial Narrow"/>
          <w:sz w:val="24"/>
        </w:rPr>
        <w:t>OSMAR TOZZO</w:t>
      </w:r>
    </w:p>
    <w:p w:rsidR="00A32C6D" w:rsidRPr="00C36971" w:rsidRDefault="00A32C6D" w:rsidP="00A32C6D">
      <w:pPr>
        <w:spacing w:line="360" w:lineRule="auto"/>
        <w:jc w:val="center"/>
        <w:rPr>
          <w:rFonts w:ascii="Arial Narrow" w:hAnsi="Arial Narrow"/>
          <w:sz w:val="24"/>
        </w:rPr>
      </w:pPr>
      <w:r w:rsidRPr="00C36971">
        <w:rPr>
          <w:rFonts w:ascii="Arial Narrow" w:hAnsi="Arial Narrow"/>
          <w:sz w:val="24"/>
        </w:rPr>
        <w:t>Prefeito Municipal</w:t>
      </w:r>
    </w:p>
    <w:bookmarkEnd w:id="1"/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</w:p>
    <w:p w:rsidR="00A32C6D" w:rsidRPr="00171353" w:rsidRDefault="00A32C6D" w:rsidP="00A32C6D">
      <w:pPr>
        <w:spacing w:line="360" w:lineRule="auto"/>
        <w:jc w:val="both"/>
        <w:rPr>
          <w:rFonts w:ascii="Arial Narrow" w:hAnsi="Arial Narrow"/>
        </w:rPr>
      </w:pPr>
    </w:p>
    <w:p w:rsidR="00621E0C" w:rsidRDefault="00A32C6D"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 </w:t>
      </w:r>
    </w:p>
    <w:sectPr w:rsidR="00621E0C" w:rsidSect="00A32C6D">
      <w:pgSz w:w="11906" w:h="16838"/>
      <w:pgMar w:top="226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6D"/>
    <w:rsid w:val="00621E0C"/>
    <w:rsid w:val="00A32C6D"/>
    <w:rsid w:val="00C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7787-B390-4E59-B28D-FAB33E42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2</cp:revision>
  <dcterms:created xsi:type="dcterms:W3CDTF">2022-02-15T16:14:00Z</dcterms:created>
  <dcterms:modified xsi:type="dcterms:W3CDTF">2022-02-15T17:06:00Z</dcterms:modified>
</cp:coreProperties>
</file>